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D9" w:rsidRPr="005603B1" w:rsidRDefault="00EE28D9" w:rsidP="00EE28D9">
      <w:pPr>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r w:rsidRPr="005603B1">
        <w:rPr>
          <w:rFonts w:ascii="Arial" w:hAnsi="Arial"/>
          <w:sz w:val="20"/>
          <w:szCs w:val="20"/>
        </w:rPr>
        <w:t>M</w:t>
      </w:r>
    </w:p>
    <w:p w:rsidR="00EE28D9" w:rsidRPr="005603B1" w:rsidRDefault="00EE28D9" w:rsidP="00EE28D9">
      <w:pPr>
        <w:jc w:val="both"/>
        <w:rPr>
          <w:rFonts w:ascii="Arial" w:hAnsi="Arial"/>
          <w:sz w:val="20"/>
          <w:szCs w:val="20"/>
        </w:rPr>
      </w:pPr>
      <w:r w:rsidRPr="005603B1">
        <w:rPr>
          <w:rFonts w:ascii="Arial" w:hAnsi="Arial"/>
          <w:sz w:val="20"/>
          <w:szCs w:val="20"/>
        </w:rPr>
        <w:t>Rue</w:t>
      </w: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r w:rsidRPr="005603B1">
        <w:rPr>
          <w:rFonts w:ascii="Arial" w:hAnsi="Arial"/>
          <w:sz w:val="20"/>
          <w:szCs w:val="20"/>
        </w:rPr>
        <w:t>1000</w:t>
      </w: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tbl>
      <w:tblPr>
        <w:tblW w:w="9961" w:type="dxa"/>
        <w:tblLook w:val="01E0" w:firstRow="1" w:lastRow="1" w:firstColumn="1" w:lastColumn="1" w:noHBand="0" w:noVBand="0"/>
      </w:tblPr>
      <w:tblGrid>
        <w:gridCol w:w="3294"/>
        <w:gridCol w:w="3442"/>
        <w:gridCol w:w="3225"/>
      </w:tblGrid>
      <w:tr w:rsidR="00EE28D9" w:rsidRPr="004207B7" w:rsidTr="00EE41E6">
        <w:tc>
          <w:tcPr>
            <w:tcW w:w="3294" w:type="dxa"/>
          </w:tcPr>
          <w:p w:rsidR="00EE28D9" w:rsidRPr="004207B7" w:rsidRDefault="00EE28D9" w:rsidP="00EE41E6">
            <w:pPr>
              <w:ind w:right="567"/>
              <w:jc w:val="both"/>
              <w:rPr>
                <w:rFonts w:ascii="Arial" w:hAnsi="Arial" w:cs="Arial"/>
                <w:sz w:val="20"/>
                <w:szCs w:val="20"/>
              </w:rPr>
            </w:pPr>
            <w:r w:rsidRPr="004207B7">
              <w:rPr>
                <w:rFonts w:ascii="Arial" w:hAnsi="Arial" w:cs="Arial"/>
                <w:sz w:val="20"/>
                <w:szCs w:val="20"/>
              </w:rPr>
              <w:t>V/Réf</w:t>
            </w:r>
          </w:p>
          <w:p w:rsidR="00EE28D9" w:rsidRPr="004207B7" w:rsidRDefault="00EE28D9" w:rsidP="00EE41E6">
            <w:pPr>
              <w:ind w:left="567" w:right="567" w:hanging="1228"/>
              <w:jc w:val="both"/>
              <w:rPr>
                <w:rFonts w:ascii="Arial" w:hAnsi="Arial" w:cs="Arial"/>
                <w:sz w:val="20"/>
                <w:szCs w:val="20"/>
              </w:rPr>
            </w:pPr>
          </w:p>
        </w:tc>
        <w:tc>
          <w:tcPr>
            <w:tcW w:w="3442" w:type="dxa"/>
          </w:tcPr>
          <w:p w:rsidR="00EE28D9" w:rsidRPr="004207B7" w:rsidRDefault="00EE28D9" w:rsidP="00EE41E6">
            <w:pPr>
              <w:ind w:left="2236" w:right="170" w:hanging="2236"/>
              <w:jc w:val="both"/>
              <w:rPr>
                <w:rFonts w:ascii="Arial" w:hAnsi="Arial" w:cs="Arial"/>
                <w:sz w:val="20"/>
                <w:szCs w:val="20"/>
              </w:rPr>
            </w:pPr>
            <w:r w:rsidRPr="004207B7">
              <w:rPr>
                <w:rFonts w:ascii="Arial" w:hAnsi="Arial" w:cs="Arial"/>
                <w:sz w:val="20"/>
                <w:szCs w:val="20"/>
              </w:rPr>
              <w:t xml:space="preserve">N/Réf. : </w:t>
            </w:r>
          </w:p>
          <w:p w:rsidR="00EE28D9" w:rsidRPr="004207B7" w:rsidRDefault="00EE28D9" w:rsidP="00EE41E6">
            <w:pPr>
              <w:ind w:left="2236" w:right="170" w:hanging="2236"/>
              <w:jc w:val="both"/>
              <w:rPr>
                <w:rFonts w:ascii="Arial" w:hAnsi="Arial" w:cs="Arial"/>
                <w:sz w:val="20"/>
                <w:szCs w:val="20"/>
              </w:rPr>
            </w:pPr>
            <w:proofErr w:type="spellStart"/>
            <w:r w:rsidRPr="004207B7">
              <w:rPr>
                <w:rFonts w:ascii="Arial" w:hAnsi="Arial" w:cs="Arial"/>
                <w:color w:val="808080"/>
                <w:sz w:val="20"/>
                <w:szCs w:val="20"/>
              </w:rPr>
              <w:t>Gest</w:t>
            </w:r>
            <w:proofErr w:type="spellEnd"/>
            <w:r w:rsidRPr="004207B7">
              <w:rPr>
                <w:rFonts w:ascii="Arial" w:hAnsi="Arial" w:cs="Arial"/>
                <w:color w:val="808080"/>
                <w:sz w:val="20"/>
                <w:szCs w:val="20"/>
              </w:rPr>
              <w:t xml:space="preserve">.: </w:t>
            </w:r>
          </w:p>
        </w:tc>
        <w:tc>
          <w:tcPr>
            <w:tcW w:w="3225" w:type="dxa"/>
          </w:tcPr>
          <w:p w:rsidR="00EE28D9" w:rsidRPr="004207B7" w:rsidRDefault="00EE28D9" w:rsidP="00EE41E6">
            <w:pPr>
              <w:ind w:left="2019" w:right="170" w:hanging="2019"/>
              <w:jc w:val="both"/>
              <w:rPr>
                <w:rFonts w:ascii="Arial" w:hAnsi="Arial" w:cs="Arial"/>
                <w:sz w:val="20"/>
                <w:szCs w:val="20"/>
              </w:rPr>
            </w:pPr>
            <w:r w:rsidRPr="004207B7">
              <w:rPr>
                <w:rFonts w:ascii="Arial" w:hAnsi="Arial" w:cs="Arial"/>
                <w:sz w:val="20"/>
                <w:szCs w:val="20"/>
              </w:rPr>
              <w:t xml:space="preserve">Bruxelles, le </w:t>
            </w:r>
          </w:p>
        </w:tc>
      </w:tr>
    </w:tbl>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r w:rsidRPr="005603B1">
        <w:rPr>
          <w:rFonts w:ascii="Arial" w:hAnsi="Arial"/>
          <w:sz w:val="20"/>
          <w:szCs w:val="20"/>
        </w:rPr>
        <w:fldChar w:fldCharType="begin"/>
      </w:r>
      <w:r w:rsidRPr="005603B1">
        <w:rPr>
          <w:rFonts w:ascii="Arial" w:hAnsi="Arial"/>
          <w:sz w:val="20"/>
          <w:szCs w:val="20"/>
        </w:rPr>
        <w:instrText xml:space="preserve"> MACROBUTTON  AbaisserNiveauListe "[Madame, Monsieur Nom Débiteur]" </w:instrText>
      </w:r>
      <w:r w:rsidRPr="005603B1">
        <w:rPr>
          <w:rFonts w:ascii="Arial" w:hAnsi="Arial"/>
          <w:sz w:val="20"/>
          <w:szCs w:val="20"/>
        </w:rPr>
        <w:fldChar w:fldCharType="end"/>
      </w:r>
      <w:proofErr w:type="gramStart"/>
      <w:r w:rsidRPr="005603B1">
        <w:rPr>
          <w:rFonts w:ascii="Arial" w:hAnsi="Arial"/>
          <w:sz w:val="20"/>
          <w:szCs w:val="20"/>
        </w:rPr>
        <w:t>domicilié(</w:t>
      </w:r>
      <w:proofErr w:type="gramEnd"/>
      <w:r w:rsidRPr="005603B1">
        <w:rPr>
          <w:rFonts w:ascii="Arial" w:hAnsi="Arial"/>
          <w:sz w:val="20"/>
          <w:szCs w:val="20"/>
        </w:rPr>
        <w:t xml:space="preserve">e) </w:t>
      </w:r>
      <w:r w:rsidRPr="005603B1">
        <w:rPr>
          <w:rFonts w:ascii="Arial" w:hAnsi="Arial"/>
          <w:sz w:val="20"/>
          <w:szCs w:val="20"/>
        </w:rPr>
        <w:fldChar w:fldCharType="begin"/>
      </w:r>
      <w:r w:rsidRPr="005603B1">
        <w:rPr>
          <w:rFonts w:ascii="Arial" w:hAnsi="Arial"/>
          <w:sz w:val="20"/>
          <w:szCs w:val="20"/>
        </w:rPr>
        <w:instrText xml:space="preserve"> MACROBUTTON  AbaisserNiveauListe [Adresse] </w:instrText>
      </w:r>
      <w:r w:rsidRPr="005603B1">
        <w:rPr>
          <w:rFonts w:ascii="Arial" w:hAnsi="Arial"/>
          <w:sz w:val="20"/>
          <w:szCs w:val="20"/>
        </w:rPr>
        <w:fldChar w:fldCharType="end"/>
      </w:r>
      <w:r w:rsidRPr="005603B1">
        <w:rPr>
          <w:rFonts w:ascii="Arial" w:hAnsi="Arial"/>
          <w:sz w:val="20"/>
          <w:szCs w:val="20"/>
        </w:rPr>
        <w:t xml:space="preserve">à </w:t>
      </w:r>
      <w:r w:rsidRPr="005603B1">
        <w:rPr>
          <w:rFonts w:ascii="Arial" w:hAnsi="Arial"/>
          <w:sz w:val="20"/>
          <w:szCs w:val="20"/>
        </w:rPr>
        <w:fldChar w:fldCharType="begin"/>
      </w:r>
      <w:r w:rsidRPr="005603B1">
        <w:rPr>
          <w:rFonts w:ascii="Arial" w:hAnsi="Arial"/>
          <w:sz w:val="20"/>
          <w:szCs w:val="20"/>
        </w:rPr>
        <w:instrText xml:space="preserve"> MACROBUTTON  AbaisserNiveauListe "[Code Postal]"</w:instrText>
      </w:r>
      <w:r w:rsidRPr="005603B1">
        <w:rPr>
          <w:rFonts w:ascii="Arial" w:hAnsi="Arial"/>
          <w:sz w:val="20"/>
          <w:szCs w:val="20"/>
        </w:rPr>
        <w:fldChar w:fldCharType="end"/>
      </w:r>
      <w:r w:rsidRPr="005603B1">
        <w:rPr>
          <w:rFonts w:ascii="Arial" w:hAnsi="Arial"/>
          <w:sz w:val="20"/>
          <w:szCs w:val="20"/>
        </w:rPr>
        <w:t xml:space="preserve"> Bruxelles</w:t>
      </w: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r>
        <w:rPr>
          <w:rFonts w:ascii="Arial" w:hAnsi="Arial"/>
          <w:sz w:val="20"/>
          <w:szCs w:val="20"/>
        </w:rPr>
        <w:t>M</w:t>
      </w:r>
      <w:r w:rsidRPr="005603B1">
        <w:rPr>
          <w:rFonts w:ascii="Arial" w:hAnsi="Arial"/>
          <w:sz w:val="20"/>
          <w:szCs w:val="20"/>
        </w:rPr>
        <w:t>adame</w:t>
      </w:r>
    </w:p>
    <w:p w:rsidR="00EE28D9" w:rsidRPr="005603B1" w:rsidRDefault="00EE28D9" w:rsidP="00EE28D9">
      <w:pPr>
        <w:jc w:val="both"/>
        <w:rPr>
          <w:rFonts w:ascii="Arial" w:hAnsi="Arial"/>
          <w:sz w:val="20"/>
          <w:szCs w:val="20"/>
        </w:rPr>
      </w:pPr>
      <w:r>
        <w:rPr>
          <w:rFonts w:ascii="Arial" w:hAnsi="Arial"/>
          <w:sz w:val="20"/>
          <w:szCs w:val="20"/>
        </w:rPr>
        <w:t>M</w:t>
      </w:r>
      <w:r w:rsidRPr="005603B1">
        <w:rPr>
          <w:rFonts w:ascii="Arial" w:hAnsi="Arial"/>
          <w:sz w:val="20"/>
          <w:szCs w:val="20"/>
        </w:rPr>
        <w:t>onsieur</w:t>
      </w:r>
    </w:p>
    <w:p w:rsidR="00EE28D9" w:rsidRPr="005603B1" w:rsidRDefault="00EE28D9" w:rsidP="00EE28D9">
      <w:pPr>
        <w:jc w:val="both"/>
        <w:rPr>
          <w:rFonts w:ascii="Arial" w:hAnsi="Arial"/>
          <w:sz w:val="20"/>
          <w:szCs w:val="20"/>
        </w:rPr>
      </w:pPr>
    </w:p>
    <w:p w:rsidR="00EE28D9" w:rsidRDefault="00EE28D9" w:rsidP="00EE28D9">
      <w:pPr>
        <w:jc w:val="both"/>
        <w:rPr>
          <w:rFonts w:ascii="Arial" w:hAnsi="Arial"/>
          <w:sz w:val="20"/>
          <w:szCs w:val="20"/>
        </w:rPr>
      </w:pPr>
      <w:r>
        <w:rPr>
          <w:rFonts w:ascii="Arial" w:hAnsi="Arial"/>
          <w:sz w:val="20"/>
          <w:szCs w:val="20"/>
        </w:rPr>
        <w:t xml:space="preserve">Vous réclamez le paiement du prix de fournitures de gaz et/ou d’électricité qui furent vendues au client </w:t>
      </w:r>
      <w:proofErr w:type="gramStart"/>
      <w:r>
        <w:rPr>
          <w:rFonts w:ascii="Arial" w:hAnsi="Arial"/>
          <w:sz w:val="20"/>
          <w:szCs w:val="20"/>
        </w:rPr>
        <w:t xml:space="preserve">en </w:t>
      </w:r>
      <w:proofErr w:type="gramEnd"/>
      <w:r>
        <w:rPr>
          <w:rFonts w:ascii="Arial" w:hAnsi="Arial"/>
          <w:sz w:val="20"/>
          <w:szCs w:val="20"/>
          <w:highlight w:val="lightGray"/>
        </w:rPr>
        <w:fldChar w:fldCharType="begin"/>
      </w:r>
      <w:r>
        <w:rPr>
          <w:rFonts w:ascii="Arial" w:hAnsi="Arial"/>
          <w:sz w:val="20"/>
          <w:szCs w:val="20"/>
          <w:highlight w:val="lightGray"/>
        </w:rPr>
        <w:instrText xml:space="preserve"> MACROBUTTON  AbaisserNiveauListe [année(s)] </w:instrText>
      </w:r>
      <w:r>
        <w:rPr>
          <w:rFonts w:ascii="Arial" w:hAnsi="Arial"/>
          <w:sz w:val="20"/>
          <w:szCs w:val="20"/>
          <w:highlight w:val="lightGray"/>
        </w:rPr>
        <w:fldChar w:fldCharType="end"/>
      </w:r>
      <w:r>
        <w:rPr>
          <w:rFonts w:ascii="Arial" w:hAnsi="Arial"/>
          <w:sz w:val="20"/>
          <w:szCs w:val="20"/>
        </w:rPr>
        <w:t>.</w:t>
      </w:r>
    </w:p>
    <w:p w:rsidR="00EE28D9" w:rsidRDefault="00EE28D9" w:rsidP="00EE28D9">
      <w:pPr>
        <w:jc w:val="both"/>
        <w:rPr>
          <w:rFonts w:ascii="Arial" w:hAnsi="Arial"/>
          <w:sz w:val="20"/>
          <w:szCs w:val="20"/>
        </w:rPr>
      </w:pPr>
    </w:p>
    <w:p w:rsidR="00EE28D9" w:rsidRPr="00EE28D9" w:rsidRDefault="00EE28D9" w:rsidP="00EE28D9">
      <w:pPr>
        <w:rPr>
          <w:rFonts w:ascii="Times" w:eastAsiaTheme="minorHAnsi" w:hAnsi="Times" w:cstheme="minorBidi"/>
          <w:lang w:val="fr-BE"/>
        </w:rPr>
      </w:pPr>
      <w:r>
        <w:rPr>
          <w:rFonts w:ascii="Arial" w:hAnsi="Arial"/>
          <w:sz w:val="20"/>
          <w:szCs w:val="20"/>
        </w:rPr>
        <w:t xml:space="preserve">A notre estime, cette dette est prescrite conformément à l’article </w:t>
      </w:r>
      <w:hyperlink r:id="rId7" w:anchor="Art.2273" w:history="1">
        <w:r w:rsidRPr="00EE28D9">
          <w:rPr>
            <w:rFonts w:ascii="Times" w:eastAsiaTheme="minorHAnsi" w:hAnsi="Times" w:cstheme="minorBidi"/>
            <w:lang w:val="fr-BE"/>
          </w:rPr>
          <w:t>2272</w:t>
        </w:r>
      </w:hyperlink>
      <w:r>
        <w:rPr>
          <w:rFonts w:ascii="Times" w:eastAsiaTheme="minorHAnsi" w:hAnsi="Times" w:cstheme="minorBidi"/>
          <w:b/>
          <w:lang w:val="fr-BE"/>
        </w:rPr>
        <w:t xml:space="preserve"> </w:t>
      </w:r>
      <w:r>
        <w:rPr>
          <w:rFonts w:ascii="Arial" w:hAnsi="Arial"/>
          <w:sz w:val="20"/>
          <w:szCs w:val="20"/>
        </w:rPr>
        <w:t xml:space="preserve">du Code civil et à la jurisprudence de la Cour de Cassation (arrêt du 8 janvier 2015). </w:t>
      </w:r>
    </w:p>
    <w:p w:rsidR="00EE28D9" w:rsidRDefault="00EE28D9" w:rsidP="00EE28D9">
      <w:pPr>
        <w:jc w:val="both"/>
        <w:rPr>
          <w:rFonts w:ascii="Arial" w:hAnsi="Arial"/>
          <w:sz w:val="20"/>
          <w:szCs w:val="20"/>
        </w:rPr>
      </w:pPr>
    </w:p>
    <w:p w:rsidR="00EE28D9" w:rsidRDefault="00EE28D9" w:rsidP="00EE28D9">
      <w:pPr>
        <w:jc w:val="both"/>
        <w:rPr>
          <w:rFonts w:ascii="Arial" w:hAnsi="Arial"/>
          <w:sz w:val="20"/>
          <w:szCs w:val="20"/>
        </w:rPr>
      </w:pPr>
      <w:r>
        <w:rPr>
          <w:rFonts w:ascii="Arial" w:hAnsi="Arial"/>
          <w:sz w:val="20"/>
          <w:szCs w:val="20"/>
        </w:rPr>
        <w:t>Nous vous remercions de la suite que vous voudrez bien réserver à la présente.</w:t>
      </w:r>
    </w:p>
    <w:p w:rsidR="00EE28D9" w:rsidRDefault="00EE28D9" w:rsidP="00EE28D9">
      <w:pPr>
        <w:jc w:val="both"/>
        <w:rPr>
          <w:rFonts w:ascii="Arial" w:hAnsi="Arial"/>
          <w:sz w:val="20"/>
          <w:szCs w:val="20"/>
        </w:rPr>
      </w:pPr>
    </w:p>
    <w:p w:rsidR="00EE28D9" w:rsidRDefault="00EE28D9" w:rsidP="00EE28D9">
      <w:pPr>
        <w:jc w:val="both"/>
        <w:rPr>
          <w:rFonts w:ascii="Arial" w:hAnsi="Arial"/>
          <w:sz w:val="20"/>
          <w:szCs w:val="20"/>
        </w:rPr>
      </w:pPr>
      <w:r>
        <w:rPr>
          <w:rFonts w:ascii="Arial" w:hAnsi="Arial"/>
          <w:sz w:val="20"/>
          <w:szCs w:val="20"/>
        </w:rPr>
        <w:t>Salutations distinguées</w:t>
      </w: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Pr="005603B1" w:rsidRDefault="00EE28D9" w:rsidP="00EE28D9">
      <w:pPr>
        <w:rPr>
          <w:rFonts w:ascii="Arial" w:hAnsi="Arial"/>
          <w:sz w:val="20"/>
          <w:szCs w:val="20"/>
        </w:rPr>
      </w:pPr>
      <w:r>
        <w:rPr>
          <w:rFonts w:ascii="Arial" w:hAnsi="Arial"/>
          <w:sz w:val="20"/>
          <w:szCs w:val="20"/>
        </w:rPr>
        <w:t>Le médiateur de dettes</w:t>
      </w:r>
    </w:p>
    <w:p w:rsidR="00EE28D9" w:rsidRPr="005603B1" w:rsidRDefault="00EE28D9" w:rsidP="00EE28D9">
      <w:pPr>
        <w:jc w:val="both"/>
        <w:rPr>
          <w:rFonts w:ascii="Arial" w:hAnsi="Arial"/>
          <w:sz w:val="20"/>
          <w:szCs w:val="20"/>
        </w:rPr>
      </w:pPr>
    </w:p>
    <w:p w:rsidR="00EE28D9" w:rsidRPr="005603B1" w:rsidRDefault="00EE28D9" w:rsidP="00EE28D9">
      <w:pPr>
        <w:jc w:val="both"/>
        <w:rPr>
          <w:rFonts w:ascii="Arial" w:hAnsi="Arial"/>
          <w:sz w:val="20"/>
          <w:szCs w:val="20"/>
        </w:rPr>
      </w:pPr>
    </w:p>
    <w:p w:rsidR="00EE28D9" w:rsidRDefault="00EE28D9" w:rsidP="00EE28D9">
      <w:pPr>
        <w:jc w:val="both"/>
        <w:rPr>
          <w:rFonts w:ascii="Arial" w:hAnsi="Arial"/>
          <w:sz w:val="20"/>
          <w:szCs w:val="20"/>
        </w:rPr>
      </w:pPr>
      <w:r w:rsidRPr="005603B1">
        <w:rPr>
          <w:rFonts w:ascii="Arial" w:hAnsi="Arial"/>
          <w:sz w:val="20"/>
          <w:szCs w:val="20"/>
        </w:rPr>
        <w:t>Annexes :</w:t>
      </w:r>
      <w:r w:rsidR="000874FE">
        <w:rPr>
          <w:rFonts w:ascii="Arial" w:hAnsi="Arial"/>
          <w:sz w:val="20"/>
          <w:szCs w:val="20"/>
        </w:rPr>
        <w:t xml:space="preserve"> ……</w:t>
      </w:r>
      <w:bookmarkStart w:id="0" w:name="_GoBack"/>
      <w:bookmarkEnd w:id="0"/>
    </w:p>
    <w:p w:rsidR="00EE28D9" w:rsidRPr="00E17FD4" w:rsidRDefault="00EE28D9" w:rsidP="00EE28D9">
      <w:pPr>
        <w:jc w:val="both"/>
        <w:rPr>
          <w:rFonts w:ascii="Arial" w:hAnsi="Arial"/>
          <w:sz w:val="20"/>
          <w:szCs w:val="20"/>
        </w:rPr>
      </w:pPr>
    </w:p>
    <w:p w:rsidR="00497A24" w:rsidRDefault="00497A24" w:rsidP="00EE28D9">
      <w:pPr>
        <w:jc w:val="both"/>
        <w:rPr>
          <w:rFonts w:ascii="Arial" w:hAnsi="Arial"/>
          <w:sz w:val="20"/>
          <w:szCs w:val="20"/>
        </w:rPr>
      </w:pPr>
    </w:p>
    <w:p w:rsidR="00990A4F" w:rsidRPr="00497A24" w:rsidRDefault="00EE28D9" w:rsidP="00497A24">
      <w:pPr>
        <w:pBdr>
          <w:top w:val="single" w:sz="4" w:space="1" w:color="auto"/>
          <w:left w:val="single" w:sz="4" w:space="1" w:color="auto"/>
          <w:bottom w:val="single" w:sz="4" w:space="1" w:color="auto"/>
          <w:right w:val="single" w:sz="4" w:space="1" w:color="auto"/>
        </w:pBdr>
        <w:jc w:val="both"/>
        <w:rPr>
          <w:rFonts w:ascii="Arial" w:hAnsi="Arial"/>
          <w:sz w:val="20"/>
          <w:szCs w:val="20"/>
          <w:u w:val="single"/>
        </w:rPr>
      </w:pPr>
      <w:r w:rsidRPr="00497A24">
        <w:rPr>
          <w:rFonts w:ascii="Arial" w:hAnsi="Arial"/>
          <w:sz w:val="20"/>
          <w:szCs w:val="20"/>
          <w:u w:val="single"/>
        </w:rPr>
        <w:t>Note explicative</w:t>
      </w:r>
    </w:p>
    <w:p w:rsidR="00EE28D9" w:rsidRPr="00EE28D9" w:rsidRDefault="00EE28D9" w:rsidP="00497A24">
      <w:pPr>
        <w:pBdr>
          <w:top w:val="single" w:sz="4" w:space="1" w:color="auto"/>
          <w:left w:val="single" w:sz="4" w:space="1" w:color="auto"/>
          <w:bottom w:val="single" w:sz="4" w:space="1" w:color="auto"/>
          <w:right w:val="single" w:sz="4" w:space="1" w:color="auto"/>
        </w:pBdr>
        <w:jc w:val="both"/>
        <w:rPr>
          <w:rFonts w:ascii="Arial" w:hAnsi="Arial"/>
          <w:sz w:val="20"/>
          <w:szCs w:val="20"/>
        </w:rPr>
      </w:pPr>
    </w:p>
    <w:p w:rsidR="00EE28D9" w:rsidRPr="00EE28D9" w:rsidRDefault="00EE28D9" w:rsidP="00497A24">
      <w:pPr>
        <w:pBdr>
          <w:top w:val="single" w:sz="4" w:space="1" w:color="auto"/>
          <w:left w:val="single" w:sz="4" w:space="1" w:color="auto"/>
          <w:bottom w:val="single" w:sz="4" w:space="1" w:color="auto"/>
          <w:right w:val="single" w:sz="4" w:space="1" w:color="auto"/>
        </w:pBdr>
        <w:jc w:val="both"/>
        <w:rPr>
          <w:rFonts w:ascii="Arial" w:hAnsi="Arial"/>
          <w:sz w:val="20"/>
          <w:szCs w:val="20"/>
        </w:rPr>
      </w:pPr>
      <w:r w:rsidRPr="00EE28D9">
        <w:rPr>
          <w:rFonts w:ascii="Arial" w:hAnsi="Arial"/>
          <w:sz w:val="20"/>
          <w:szCs w:val="20"/>
        </w:rPr>
        <w:t xml:space="preserve">En vertu de l’arrêt de la cour de cassation du 8 janvier 2015, vous pouvez invoquer la prescription d’une facture d’énergie au bout </w:t>
      </w:r>
      <w:r w:rsidRPr="00EE28D9">
        <w:rPr>
          <w:rFonts w:ascii="Arial" w:hAnsi="Arial"/>
          <w:b/>
          <w:sz w:val="20"/>
          <w:szCs w:val="20"/>
          <w:u w:val="single"/>
        </w:rPr>
        <w:t>d’un an</w:t>
      </w:r>
      <w:r w:rsidRPr="00EE28D9">
        <w:rPr>
          <w:rFonts w:ascii="Arial" w:hAnsi="Arial"/>
          <w:sz w:val="20"/>
          <w:szCs w:val="20"/>
        </w:rPr>
        <w:t xml:space="preserve"> sur base de l’</w:t>
      </w:r>
      <w:hyperlink r:id="rId8" w:anchor="Art.2271" w:history="1">
        <w:r w:rsidRPr="00EE28D9">
          <w:rPr>
            <w:rFonts w:ascii="Arial" w:hAnsi="Arial"/>
            <w:sz w:val="20"/>
            <w:szCs w:val="20"/>
          </w:rPr>
          <w:t>art.</w:t>
        </w:r>
      </w:hyperlink>
      <w:r w:rsidRPr="00EE28D9">
        <w:rPr>
          <w:rFonts w:ascii="Arial" w:hAnsi="Arial"/>
          <w:sz w:val="20"/>
          <w:szCs w:val="20"/>
        </w:rPr>
        <w:t xml:space="preserve"> </w:t>
      </w:r>
      <w:hyperlink r:id="rId9" w:anchor="Art.2273" w:history="1">
        <w:r w:rsidRPr="00EE28D9">
          <w:rPr>
            <w:rFonts w:ascii="Arial" w:hAnsi="Arial"/>
            <w:sz w:val="20"/>
            <w:szCs w:val="20"/>
          </w:rPr>
          <w:t>2272</w:t>
        </w:r>
      </w:hyperlink>
      <w:r w:rsidRPr="00EE28D9">
        <w:rPr>
          <w:rFonts w:ascii="Arial" w:hAnsi="Arial"/>
          <w:sz w:val="20"/>
          <w:szCs w:val="20"/>
        </w:rPr>
        <w:t xml:space="preserve"> du Code civil.</w:t>
      </w:r>
    </w:p>
    <w:p w:rsid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b/>
          <w:sz w:val="20"/>
          <w:szCs w:val="20"/>
          <w:lang w:val="fr-BE"/>
        </w:rPr>
      </w:pP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b/>
          <w:sz w:val="20"/>
          <w:szCs w:val="20"/>
          <w:lang w:val="fr-BE"/>
        </w:rPr>
      </w:pPr>
      <w:r w:rsidRPr="00EE28D9">
        <w:rPr>
          <w:rFonts w:ascii="Arial" w:eastAsiaTheme="minorHAnsi" w:hAnsi="Arial" w:cs="Arial"/>
          <w:b/>
          <w:sz w:val="20"/>
          <w:szCs w:val="20"/>
          <w:lang w:val="fr-BE"/>
        </w:rPr>
        <w:t>Point de départ</w:t>
      </w: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r w:rsidRPr="00EE28D9">
        <w:rPr>
          <w:rFonts w:ascii="Arial" w:eastAsiaTheme="minorHAnsi" w:hAnsi="Arial" w:cs="Arial"/>
          <w:sz w:val="20"/>
          <w:szCs w:val="20"/>
          <w:lang w:val="fr-BE"/>
        </w:rPr>
        <w:t xml:space="preserve">Le point de départ de la prescription est le jour où l'obligation devient exigible. Il faut donc examiner ce que dit le contrat. Dans le cadre d'une obligation de payer, on va en général convenir contractuellement que la dette sera immédiatement exigible à dater de .... </w:t>
      </w:r>
      <w:proofErr w:type="gramStart"/>
      <w:r w:rsidRPr="00EE28D9">
        <w:rPr>
          <w:rFonts w:ascii="Arial" w:eastAsiaTheme="minorHAnsi" w:hAnsi="Arial" w:cs="Arial"/>
          <w:sz w:val="20"/>
          <w:szCs w:val="20"/>
          <w:lang w:val="fr-BE"/>
        </w:rPr>
        <w:t>( ex</w:t>
      </w:r>
      <w:proofErr w:type="gramEnd"/>
      <w:r w:rsidRPr="00EE28D9">
        <w:rPr>
          <w:rFonts w:ascii="Arial" w:eastAsiaTheme="minorHAnsi" w:hAnsi="Arial" w:cs="Arial"/>
          <w:sz w:val="20"/>
          <w:szCs w:val="20"/>
          <w:lang w:val="fr-BE"/>
        </w:rPr>
        <w:t xml:space="preserve"> : Electrabel et </w:t>
      </w:r>
      <w:proofErr w:type="spellStart"/>
      <w:r w:rsidRPr="00EE28D9">
        <w:rPr>
          <w:rFonts w:ascii="Arial" w:eastAsiaTheme="minorHAnsi" w:hAnsi="Arial" w:cs="Arial"/>
          <w:sz w:val="20"/>
          <w:szCs w:val="20"/>
          <w:lang w:val="fr-BE"/>
        </w:rPr>
        <w:t>Lampiris</w:t>
      </w:r>
      <w:proofErr w:type="spellEnd"/>
      <w:r w:rsidRPr="00EE28D9">
        <w:rPr>
          <w:rFonts w:ascii="Arial" w:eastAsiaTheme="minorHAnsi" w:hAnsi="Arial" w:cs="Arial"/>
          <w:sz w:val="20"/>
          <w:szCs w:val="20"/>
          <w:lang w:val="fr-BE"/>
        </w:rPr>
        <w:t xml:space="preserve"> : les factures doivent être payées au plus tard dans les 15 jours calendrier à dater du jour de réception de la facture) si on ne dit rien dans le contrat se sera à dater de la mise en demeure.</w:t>
      </w: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r w:rsidRPr="00EE28D9">
        <w:rPr>
          <w:rFonts w:ascii="Arial" w:eastAsiaTheme="minorHAnsi" w:hAnsi="Arial" w:cs="Arial"/>
          <w:b/>
          <w:sz w:val="20"/>
          <w:szCs w:val="20"/>
          <w:lang w:val="fr-BE"/>
        </w:rPr>
        <w:t>Exception</w:t>
      </w: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r w:rsidRPr="00EE28D9">
        <w:rPr>
          <w:rFonts w:ascii="Arial" w:eastAsiaTheme="minorHAnsi" w:hAnsi="Arial" w:cs="Arial"/>
          <w:sz w:val="20"/>
          <w:szCs w:val="20"/>
          <w:lang w:val="fr-BE"/>
        </w:rPr>
        <w:t xml:space="preserve">Si un </w:t>
      </w:r>
      <w:r w:rsidRPr="00EE28D9">
        <w:rPr>
          <w:rFonts w:ascii="Arial" w:eastAsiaTheme="minorHAnsi" w:hAnsi="Arial" w:cs="Arial"/>
          <w:sz w:val="20"/>
          <w:szCs w:val="20"/>
          <w:u w:val="single"/>
          <w:lang w:val="fr-BE"/>
        </w:rPr>
        <w:t>écrit émanant du consommateur</w:t>
      </w:r>
      <w:r w:rsidRPr="00EE28D9">
        <w:rPr>
          <w:rFonts w:ascii="Arial" w:eastAsiaTheme="minorHAnsi" w:hAnsi="Arial" w:cs="Arial"/>
          <w:sz w:val="20"/>
          <w:szCs w:val="20"/>
          <w:lang w:val="fr-BE"/>
        </w:rPr>
        <w:t xml:space="preserve"> constate l’existence de la créance c’est la prescription de </w:t>
      </w:r>
      <w:r w:rsidRPr="00EE28D9">
        <w:rPr>
          <w:rFonts w:ascii="Arial" w:eastAsiaTheme="minorHAnsi" w:hAnsi="Arial" w:cs="Arial"/>
          <w:b/>
          <w:sz w:val="20"/>
          <w:szCs w:val="20"/>
          <w:lang w:val="fr-BE"/>
        </w:rPr>
        <w:t>5 ans</w:t>
      </w:r>
      <w:r w:rsidRPr="00EE28D9">
        <w:rPr>
          <w:rFonts w:ascii="Arial" w:eastAsiaTheme="minorHAnsi" w:hAnsi="Arial" w:cs="Arial"/>
          <w:sz w:val="20"/>
          <w:szCs w:val="20"/>
          <w:lang w:val="fr-BE"/>
        </w:rPr>
        <w:t xml:space="preserve"> prévue à l'article 2277 du Code civil qui va s’appliquer. </w:t>
      </w:r>
    </w:p>
    <w:p w:rsidR="00EE28D9" w:rsidRP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p>
    <w:p w:rsidR="00EE28D9" w:rsidRDefault="00EE28D9"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r w:rsidRPr="00EE28D9">
        <w:rPr>
          <w:rFonts w:ascii="Arial" w:eastAsiaTheme="minorHAnsi" w:hAnsi="Arial" w:cs="Arial"/>
          <w:sz w:val="20"/>
          <w:szCs w:val="20"/>
          <w:lang w:val="fr-BE"/>
        </w:rPr>
        <w:t xml:space="preserve">Il faut qu’il s’agisse bien d’un écrit </w:t>
      </w:r>
      <w:r w:rsidRPr="00EE28D9">
        <w:rPr>
          <w:rFonts w:ascii="Arial" w:eastAsiaTheme="minorHAnsi" w:hAnsi="Arial" w:cs="Arial"/>
          <w:sz w:val="20"/>
          <w:szCs w:val="20"/>
          <w:u w:val="single"/>
          <w:lang w:val="fr-BE"/>
        </w:rPr>
        <w:t>émanant du consommateur</w:t>
      </w:r>
      <w:r w:rsidRPr="00EE28D9">
        <w:rPr>
          <w:rFonts w:ascii="Arial" w:eastAsiaTheme="minorHAnsi" w:hAnsi="Arial" w:cs="Arial"/>
          <w:sz w:val="20"/>
          <w:szCs w:val="20"/>
          <w:lang w:val="fr-BE"/>
        </w:rPr>
        <w:t xml:space="preserve"> (par exemple une reconnaissance de dettes expresse ou un bon de commande signé par le consommateur en ce qui concerne le mazout). Une facture du fournisseur n’est pas suffisante !</w:t>
      </w:r>
    </w:p>
    <w:p w:rsidR="000874FE" w:rsidRDefault="000874FE"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p>
    <w:p w:rsidR="000874FE" w:rsidRPr="00EE28D9" w:rsidRDefault="000874FE" w:rsidP="00497A24">
      <w:pPr>
        <w:pBdr>
          <w:top w:val="single" w:sz="4" w:space="1" w:color="auto"/>
          <w:left w:val="single" w:sz="4" w:space="1"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p>
    <w:p w:rsidR="00EE28D9" w:rsidRPr="00EE28D9"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p>
    <w:p w:rsidR="00EE28D9" w:rsidRPr="00EE28D9"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rPr>
          <w:rFonts w:ascii="Arial" w:eastAsiaTheme="minorHAnsi" w:hAnsi="Arial" w:cs="Arial"/>
          <w:b/>
          <w:sz w:val="20"/>
          <w:szCs w:val="20"/>
          <w:lang w:val="fr-BE"/>
        </w:rPr>
      </w:pPr>
      <w:r w:rsidRPr="00EE28D9">
        <w:rPr>
          <w:rFonts w:ascii="Arial" w:eastAsiaTheme="minorHAnsi" w:hAnsi="Arial" w:cs="Arial"/>
          <w:b/>
          <w:sz w:val="20"/>
          <w:szCs w:val="20"/>
          <w:lang w:val="fr-BE"/>
        </w:rPr>
        <w:lastRenderedPageBreak/>
        <w:t>Attention à l’interruption de la prescription</w:t>
      </w:r>
    </w:p>
    <w:p w:rsidR="00497A24"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rPr>
          <w:rFonts w:ascii="Arial" w:eastAsiaTheme="minorHAnsi" w:hAnsi="Arial" w:cs="Arial"/>
          <w:sz w:val="20"/>
          <w:szCs w:val="20"/>
          <w:lang w:val="fr-BE"/>
        </w:rPr>
      </w:pPr>
      <w:r w:rsidRPr="00EE28D9">
        <w:rPr>
          <w:rFonts w:ascii="Arial" w:eastAsiaTheme="minorHAnsi" w:hAnsi="Arial" w:cs="Arial"/>
          <w:sz w:val="20"/>
          <w:szCs w:val="20"/>
          <w:lang w:val="fr-BE"/>
        </w:rPr>
        <w:t xml:space="preserve">N’oubliez pas qu’en vertu de l’article 2248 du Code civil le délai de prescription peut-être interrompu  par  </w:t>
      </w:r>
    </w:p>
    <w:p w:rsidR="00EE28D9" w:rsidRPr="00497A24"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ind w:firstLine="708"/>
        <w:rPr>
          <w:rFonts w:ascii="Arial" w:eastAsiaTheme="minorHAnsi" w:hAnsi="Arial" w:cs="Arial"/>
          <w:sz w:val="20"/>
          <w:szCs w:val="20"/>
          <w:lang w:val="fr-BE"/>
        </w:rPr>
      </w:pPr>
      <w:proofErr w:type="gramStart"/>
      <w:r w:rsidRPr="00497A24">
        <w:rPr>
          <w:rFonts w:ascii="Arial" w:hAnsi="Arial" w:cs="Arial"/>
          <w:sz w:val="20"/>
          <w:szCs w:val="20"/>
          <w:lang w:val="fr-BE" w:eastAsia="fr-BE"/>
        </w:rPr>
        <w:t>la</w:t>
      </w:r>
      <w:proofErr w:type="gramEnd"/>
      <w:r w:rsidRPr="00497A24">
        <w:rPr>
          <w:rFonts w:ascii="Arial" w:hAnsi="Arial" w:cs="Arial"/>
          <w:sz w:val="20"/>
          <w:szCs w:val="20"/>
          <w:lang w:val="fr-BE" w:eastAsia="fr-BE"/>
        </w:rPr>
        <w:t xml:space="preserve"> citation en justice</w:t>
      </w:r>
    </w:p>
    <w:p w:rsidR="00EE28D9" w:rsidRPr="00EE28D9"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spacing w:after="160" w:line="259" w:lineRule="auto"/>
        <w:ind w:firstLine="708"/>
        <w:contextualSpacing/>
        <w:rPr>
          <w:rFonts w:ascii="Arial" w:hAnsi="Arial" w:cs="Arial"/>
          <w:sz w:val="20"/>
          <w:szCs w:val="20"/>
          <w:lang w:val="fr-BE" w:eastAsia="fr-BE"/>
        </w:rPr>
      </w:pPr>
      <w:proofErr w:type="gramStart"/>
      <w:r w:rsidRPr="00EE28D9">
        <w:rPr>
          <w:rFonts w:ascii="Arial" w:hAnsi="Arial" w:cs="Arial"/>
          <w:sz w:val="20"/>
          <w:szCs w:val="20"/>
          <w:lang w:val="fr-BE" w:eastAsia="fr-BE"/>
        </w:rPr>
        <w:t>la</w:t>
      </w:r>
      <w:proofErr w:type="gramEnd"/>
      <w:r w:rsidRPr="00EE28D9">
        <w:rPr>
          <w:rFonts w:ascii="Arial" w:hAnsi="Arial" w:cs="Arial"/>
          <w:sz w:val="20"/>
          <w:szCs w:val="20"/>
          <w:lang w:val="fr-BE" w:eastAsia="fr-BE"/>
        </w:rPr>
        <w:t xml:space="preserve"> signification d’un commandement préalable de payer</w:t>
      </w:r>
    </w:p>
    <w:p w:rsidR="00EE28D9" w:rsidRPr="00EE28D9"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spacing w:after="160" w:line="259" w:lineRule="auto"/>
        <w:ind w:firstLine="708"/>
        <w:contextualSpacing/>
        <w:rPr>
          <w:rFonts w:ascii="Arial" w:hAnsi="Arial" w:cs="Arial"/>
          <w:sz w:val="20"/>
          <w:szCs w:val="20"/>
          <w:lang w:val="fr-BE" w:eastAsia="fr-BE"/>
        </w:rPr>
      </w:pPr>
      <w:proofErr w:type="gramStart"/>
      <w:r w:rsidRPr="00EE28D9">
        <w:rPr>
          <w:rFonts w:ascii="Arial" w:hAnsi="Arial" w:cs="Arial"/>
          <w:sz w:val="20"/>
          <w:szCs w:val="20"/>
          <w:lang w:val="fr-BE" w:eastAsia="fr-BE"/>
        </w:rPr>
        <w:t>la</w:t>
      </w:r>
      <w:proofErr w:type="gramEnd"/>
      <w:r w:rsidRPr="00EE28D9">
        <w:rPr>
          <w:rFonts w:ascii="Arial" w:hAnsi="Arial" w:cs="Arial"/>
          <w:sz w:val="20"/>
          <w:szCs w:val="20"/>
          <w:lang w:val="fr-BE" w:eastAsia="fr-BE"/>
        </w:rPr>
        <w:t xml:space="preserve"> signification d’une saisie</w:t>
      </w:r>
    </w:p>
    <w:p w:rsidR="00EE28D9" w:rsidRPr="00EE28D9" w:rsidRDefault="00EE28D9" w:rsidP="00497A24">
      <w:pPr>
        <w:pBdr>
          <w:top w:val="single" w:sz="4" w:space="1" w:color="auto"/>
          <w:left w:val="single" w:sz="4" w:space="0" w:color="auto"/>
          <w:bottom w:val="single" w:sz="4" w:space="1" w:color="auto"/>
          <w:right w:val="single" w:sz="4" w:space="1" w:color="auto"/>
        </w:pBdr>
        <w:autoSpaceDE w:val="0"/>
        <w:autoSpaceDN w:val="0"/>
        <w:adjustRightInd w:val="0"/>
        <w:spacing w:after="160" w:line="259" w:lineRule="auto"/>
        <w:ind w:firstLine="708"/>
        <w:contextualSpacing/>
        <w:rPr>
          <w:rFonts w:ascii="Arial" w:hAnsi="Arial" w:cs="Arial"/>
          <w:sz w:val="20"/>
          <w:szCs w:val="20"/>
          <w:lang w:val="fr-BE" w:eastAsia="fr-BE"/>
        </w:rPr>
      </w:pPr>
      <w:proofErr w:type="gramStart"/>
      <w:r w:rsidRPr="00EE28D9">
        <w:rPr>
          <w:rFonts w:ascii="Arial" w:hAnsi="Arial" w:cs="Arial"/>
          <w:sz w:val="20"/>
          <w:szCs w:val="20"/>
          <w:lang w:val="fr-BE" w:eastAsia="fr-BE"/>
        </w:rPr>
        <w:t>la</w:t>
      </w:r>
      <w:proofErr w:type="gramEnd"/>
      <w:r w:rsidRPr="00EE28D9">
        <w:rPr>
          <w:rFonts w:ascii="Arial" w:hAnsi="Arial" w:cs="Arial"/>
          <w:sz w:val="20"/>
          <w:szCs w:val="20"/>
          <w:lang w:val="fr-BE" w:eastAsia="fr-BE"/>
        </w:rPr>
        <w:t xml:space="preserve"> reconnaissance de dettes (par un paiement volontaire, un écrit)</w:t>
      </w:r>
    </w:p>
    <w:p w:rsidR="00EE28D9" w:rsidRPr="00EE28D9" w:rsidRDefault="00EE28D9" w:rsidP="00497A24">
      <w:pPr>
        <w:pBdr>
          <w:top w:val="single" w:sz="4" w:space="1" w:color="auto"/>
          <w:left w:val="single" w:sz="4" w:space="0" w:color="auto"/>
          <w:bottom w:val="single" w:sz="4" w:space="1" w:color="auto"/>
          <w:right w:val="single" w:sz="4" w:space="1" w:color="auto"/>
        </w:pBdr>
        <w:spacing w:beforeAutospacing="1" w:after="100" w:afterAutospacing="1"/>
        <w:rPr>
          <w:rFonts w:ascii="Arial" w:eastAsiaTheme="minorHAnsi" w:hAnsi="Arial" w:cs="Arial"/>
          <w:sz w:val="20"/>
          <w:szCs w:val="20"/>
          <w:lang w:val="fr-BE"/>
        </w:rPr>
      </w:pPr>
      <w:r w:rsidRPr="00EE28D9">
        <w:rPr>
          <w:rFonts w:ascii="Arial" w:hAnsi="Arial" w:cs="Arial"/>
          <w:sz w:val="20"/>
          <w:szCs w:val="20"/>
          <w:lang w:val="fr-BE" w:eastAsia="fr-BE"/>
        </w:rPr>
        <w:t>Mais aussi par une mise en demeure par lettre recommandée avec accusé de réception envoyée par l’avocat du créancier ou par l’huissier de justice désigné par le créancier à condition qu’elle</w:t>
      </w:r>
      <w:r w:rsidRPr="00EE28D9">
        <w:rPr>
          <w:rFonts w:ascii="Arial" w:eastAsiaTheme="minorHAnsi" w:hAnsi="Arial" w:cs="Arial"/>
          <w:sz w:val="20"/>
          <w:szCs w:val="20"/>
          <w:lang w:val="fr-BE"/>
        </w:rPr>
        <w:t xml:space="preserve"> répondent à différentes conditions (voyez notre article sur le sujet en cliquant ici)</w:t>
      </w:r>
    </w:p>
    <w:p w:rsidR="00EE28D9" w:rsidRPr="00EE28D9" w:rsidRDefault="000874FE" w:rsidP="00497A24">
      <w:pPr>
        <w:pBdr>
          <w:top w:val="single" w:sz="4" w:space="1" w:color="auto"/>
          <w:left w:val="single" w:sz="4" w:space="0" w:color="auto"/>
          <w:bottom w:val="single" w:sz="4" w:space="1" w:color="auto"/>
          <w:right w:val="single" w:sz="4" w:space="1" w:color="auto"/>
        </w:pBdr>
        <w:spacing w:beforeAutospacing="1" w:after="100" w:afterAutospacing="1"/>
        <w:rPr>
          <w:rFonts w:ascii="Arial" w:hAnsi="Arial" w:cs="Arial"/>
          <w:sz w:val="20"/>
          <w:szCs w:val="20"/>
          <w:lang w:val="fr-BE" w:eastAsia="fr-BE"/>
        </w:rPr>
      </w:pPr>
      <w:hyperlink r:id="rId10" w:history="1">
        <w:r w:rsidR="00EE28D9" w:rsidRPr="00EE28D9">
          <w:rPr>
            <w:rFonts w:ascii="Arial" w:hAnsi="Arial" w:cs="Arial"/>
            <w:color w:val="0000FF"/>
            <w:sz w:val="20"/>
            <w:szCs w:val="20"/>
            <w:u w:val="single"/>
            <w:lang w:val="fr-BE" w:eastAsia="fr-BE"/>
          </w:rPr>
          <w:t>http://www.mediationdedettes.be/Nouvelle-cause-d-interruption-de?lang=fr</w:t>
        </w:r>
      </w:hyperlink>
    </w:p>
    <w:p w:rsidR="00EE28D9" w:rsidRPr="00EE28D9" w:rsidRDefault="00EE28D9" w:rsidP="00497A24">
      <w:pPr>
        <w:pBdr>
          <w:top w:val="single" w:sz="4" w:space="1" w:color="auto"/>
          <w:left w:val="single" w:sz="4" w:space="0" w:color="auto"/>
          <w:bottom w:val="single" w:sz="4" w:space="1" w:color="auto"/>
          <w:right w:val="single" w:sz="4" w:space="1" w:color="auto"/>
        </w:pBdr>
        <w:spacing w:after="160" w:line="259" w:lineRule="auto"/>
        <w:rPr>
          <w:rFonts w:ascii="Arial" w:eastAsiaTheme="minorHAnsi" w:hAnsi="Arial" w:cs="Arial"/>
          <w:sz w:val="20"/>
          <w:szCs w:val="20"/>
          <w:lang w:val="fr-BE"/>
        </w:rPr>
      </w:pPr>
      <w:r w:rsidRPr="00EE28D9">
        <w:rPr>
          <w:rFonts w:ascii="Arial" w:eastAsiaTheme="minorHAnsi" w:hAnsi="Arial" w:cs="Arial"/>
          <w:sz w:val="20"/>
          <w:szCs w:val="20"/>
          <w:lang w:val="fr-BE"/>
        </w:rPr>
        <w:t xml:space="preserve">Dans ce cas, un nouveau délai d’un an se met à courir. </w:t>
      </w:r>
    </w:p>
    <w:p w:rsidR="00EE28D9" w:rsidRPr="00EE28D9" w:rsidRDefault="00EE28D9" w:rsidP="00497A24">
      <w:pPr>
        <w:pBdr>
          <w:top w:val="single" w:sz="4" w:space="1" w:color="auto"/>
          <w:left w:val="single" w:sz="4" w:space="0" w:color="auto"/>
          <w:bottom w:val="single" w:sz="4" w:space="1" w:color="auto"/>
          <w:right w:val="single" w:sz="4" w:space="1" w:color="auto"/>
        </w:pBdr>
        <w:spacing w:after="160" w:line="259" w:lineRule="auto"/>
        <w:rPr>
          <w:rFonts w:ascii="Arial" w:eastAsiaTheme="minorHAnsi" w:hAnsi="Arial" w:cs="Arial"/>
          <w:sz w:val="20"/>
          <w:szCs w:val="20"/>
          <w:lang w:val="fr-BE"/>
        </w:rPr>
      </w:pPr>
    </w:p>
    <w:p w:rsidR="00EE28D9" w:rsidRPr="00EE28D9" w:rsidRDefault="00EE28D9" w:rsidP="00497A24">
      <w:pPr>
        <w:pBdr>
          <w:top w:val="single" w:sz="4" w:space="1" w:color="auto"/>
          <w:left w:val="single" w:sz="4" w:space="0" w:color="auto"/>
          <w:bottom w:val="single" w:sz="4" w:space="1" w:color="auto"/>
          <w:right w:val="single" w:sz="4" w:space="1" w:color="auto"/>
        </w:pBdr>
        <w:spacing w:after="160" w:line="259" w:lineRule="auto"/>
        <w:rPr>
          <w:rFonts w:ascii="Arial" w:eastAsiaTheme="minorHAnsi" w:hAnsi="Arial" w:cs="Arial"/>
          <w:b/>
          <w:i/>
          <w:sz w:val="20"/>
          <w:szCs w:val="20"/>
          <w:u w:val="single"/>
          <w:lang w:val="fr-BE"/>
        </w:rPr>
      </w:pPr>
      <w:r w:rsidRPr="00EE28D9">
        <w:rPr>
          <w:rFonts w:ascii="Arial" w:eastAsiaTheme="minorHAnsi" w:hAnsi="Arial" w:cs="Arial"/>
          <w:b/>
          <w:i/>
          <w:sz w:val="20"/>
          <w:szCs w:val="20"/>
          <w:u w:val="single"/>
          <w:lang w:val="fr-BE"/>
        </w:rPr>
        <w:t>Et si le délai d’un an est passé ? Le créancier n’a pas bougé, le débiteur n’a pas reconnu la dette …</w:t>
      </w:r>
    </w:p>
    <w:p w:rsidR="000678DC" w:rsidRP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b/>
          <w:sz w:val="20"/>
          <w:szCs w:val="20"/>
          <w:lang w:val="fr-BE" w:eastAsia="fr-BE"/>
        </w:rPr>
      </w:pPr>
      <w:r w:rsidRPr="000678DC">
        <w:rPr>
          <w:rFonts w:ascii="Arial" w:hAnsi="Arial" w:cs="Arial"/>
          <w:b/>
          <w:sz w:val="20"/>
          <w:szCs w:val="20"/>
          <w:lang w:val="fr-BE" w:eastAsia="fr-BE"/>
        </w:rPr>
        <w:t>La prescription est acquise</w:t>
      </w:r>
    </w:p>
    <w:p w:rsidR="000678DC" w:rsidRDefault="00EE28D9"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val="fr-BE" w:eastAsia="fr-BE"/>
        </w:rPr>
      </w:pPr>
      <w:r w:rsidRPr="00EE28D9">
        <w:rPr>
          <w:rFonts w:ascii="Arial" w:hAnsi="Arial" w:cs="Arial"/>
          <w:sz w:val="20"/>
          <w:szCs w:val="20"/>
          <w:lang w:val="fr-BE" w:eastAsia="fr-BE"/>
        </w:rPr>
        <w:t xml:space="preserve">Si le délai d’un an est passé sans que le créancier n’ait interrompu le délai de prescription par un des actes décrits plus haut, la prescription est </w:t>
      </w:r>
      <w:proofErr w:type="gramStart"/>
      <w:r w:rsidRPr="00EE28D9">
        <w:rPr>
          <w:rFonts w:ascii="Arial" w:hAnsi="Arial" w:cs="Arial"/>
          <w:sz w:val="20"/>
          <w:szCs w:val="20"/>
          <w:lang w:val="fr-BE" w:eastAsia="fr-BE"/>
        </w:rPr>
        <w:t>acquise</w:t>
      </w:r>
      <w:proofErr w:type="gramEnd"/>
      <w:r w:rsidRPr="00EE28D9">
        <w:rPr>
          <w:rFonts w:ascii="Arial" w:hAnsi="Arial" w:cs="Arial"/>
          <w:sz w:val="20"/>
          <w:szCs w:val="20"/>
          <w:lang w:val="fr-BE" w:eastAsia="fr-BE"/>
        </w:rPr>
        <w:t>. Le créancier ne peut plus contraindre le consommateur/débiteur à payer.</w:t>
      </w:r>
    </w:p>
    <w:p w:rsidR="000678DC" w:rsidRP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b/>
          <w:sz w:val="20"/>
          <w:szCs w:val="20"/>
        </w:rPr>
      </w:pPr>
      <w:r w:rsidRPr="000678DC">
        <w:rPr>
          <w:rFonts w:ascii="Arial" w:hAnsi="Arial" w:cs="Arial"/>
          <w:b/>
          <w:sz w:val="20"/>
          <w:szCs w:val="20"/>
        </w:rPr>
        <w:t>Sauf si le débiteur a « avoué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val="fr-BE" w:eastAsia="fr-BE"/>
        </w:rPr>
      </w:pPr>
      <w:r w:rsidRPr="000678DC">
        <w:rPr>
          <w:rFonts w:ascii="Arial" w:hAnsi="Arial" w:cs="Arial"/>
          <w:sz w:val="20"/>
          <w:szCs w:val="20"/>
          <w:lang w:val="fr-BE" w:eastAsia="fr-BE"/>
        </w:rPr>
        <w:t xml:space="preserve">Attention ! La prescription courte de un an vise à protéger le consommateur de l'escroquerie d'un marchand qui réclamerait plusieurs fois le paiement de la même marchandise.  Elle est fondée sur la présomption que le consommateur a bien payé la dette mais qu’il n’est pas en mesure de le prouver.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val="fr-BE" w:eastAsia="fr-BE"/>
        </w:rPr>
      </w:pPr>
      <w:r w:rsidRPr="000678DC">
        <w:rPr>
          <w:rFonts w:ascii="Arial" w:hAnsi="Arial" w:cs="Arial"/>
          <w:sz w:val="20"/>
          <w:szCs w:val="20"/>
          <w:lang w:val="fr-BE" w:eastAsia="fr-BE"/>
        </w:rPr>
        <w:t xml:space="preserve">Dans l'affaire jugée en Cassation, les consommateurs, avaient toujours déclaré avoir payé leur consommation.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val="fr-BE" w:eastAsia="fr-BE"/>
        </w:rPr>
      </w:pPr>
      <w:r w:rsidRPr="000678DC">
        <w:rPr>
          <w:rFonts w:ascii="Arial" w:hAnsi="Arial" w:cs="Arial"/>
          <w:sz w:val="20"/>
          <w:szCs w:val="20"/>
          <w:lang w:val="fr-BE" w:eastAsia="fr-BE"/>
        </w:rPr>
        <w:t xml:space="preserve">Conséquences : Si le débiteur a avoué spontanément que la dette était due et qu’il ne l’a pas payée, il ne pourra plus invoquer la courte prescription de un an. On en reviendra donc au délai de prescription de 5 ans.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rPr>
      </w:pPr>
      <w:r w:rsidRPr="000678DC">
        <w:rPr>
          <w:rFonts w:ascii="Arial" w:hAnsi="Arial" w:cs="Arial"/>
          <w:sz w:val="20"/>
          <w:szCs w:val="20"/>
        </w:rPr>
        <w:t>Cet aveu peut être express ou tacite (par exemple dans un courrier où le consommateur va contester une partie du montant de la facture, ou demander un plan de paiement).</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val="fr-BE" w:eastAsia="fr-BE"/>
        </w:rPr>
      </w:pPr>
      <w:r w:rsidRPr="000678DC">
        <w:rPr>
          <w:rFonts w:ascii="Arial" w:hAnsi="Arial" w:cs="Arial"/>
          <w:sz w:val="20"/>
          <w:szCs w:val="20"/>
          <w:lang w:val="fr-BE" w:eastAsia="fr-BE"/>
        </w:rPr>
        <w:t>Pour les éventuels « mauvais payeurs », la prescription courte n'ira donc sans doute  pas de soi.</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rPr>
      </w:pPr>
      <w:r w:rsidRPr="000678DC">
        <w:rPr>
          <w:rFonts w:ascii="Arial" w:hAnsi="Arial" w:cs="Arial"/>
          <w:sz w:val="20"/>
          <w:szCs w:val="20"/>
        </w:rPr>
        <w:t>Attention à vos courriers ! Lors d’une demande de décompte si vous indiquez : « Madame me dit qu’elle est redevable de XXXX, pourriez-vous m’envoyer un décompte pour me permettre de proposer un plan de paiement », c’est un aveu ! Inspirez-vous des lettres type demandes de décompte qui se trouvent sur ce site</w:t>
      </w:r>
    </w:p>
    <w:p w:rsidR="000678DC" w:rsidRP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b/>
          <w:sz w:val="20"/>
          <w:szCs w:val="20"/>
        </w:rPr>
      </w:pPr>
      <w:r w:rsidRPr="000678DC">
        <w:rPr>
          <w:rFonts w:ascii="Arial" w:hAnsi="Arial" w:cs="Arial"/>
          <w:b/>
          <w:sz w:val="20"/>
          <w:szCs w:val="20"/>
        </w:rPr>
        <w:t>Sauf si le débiteur « prête serment »</w:t>
      </w:r>
    </w:p>
    <w:p w:rsidR="000678DC" w:rsidRPr="000678DC" w:rsidRDefault="000678DC" w:rsidP="00497A24">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Arial" w:hAnsi="Arial" w:cs="Arial"/>
          <w:sz w:val="20"/>
          <w:szCs w:val="20"/>
          <w:lang w:eastAsia="fr-BE"/>
        </w:rPr>
      </w:pPr>
      <w:r w:rsidRPr="000678DC">
        <w:rPr>
          <w:rFonts w:ascii="Arial" w:hAnsi="Arial" w:cs="Arial"/>
          <w:sz w:val="20"/>
          <w:szCs w:val="20"/>
        </w:rPr>
        <w:t>Le créancier peut aussi se défendre et insister en justice pour que le débiteur fasse une déclaration solennelle (le serment) selon laquelle il va devoir confirmer qu’il a bien payé (article 2275 al 1). Si le débiteur prête serment d’avoir payé il gagne le procès, s’il refuse de prêter serment il le perd.</w:t>
      </w:r>
    </w:p>
    <w:p w:rsidR="00EE28D9" w:rsidRPr="00EE28D9" w:rsidRDefault="00EE28D9" w:rsidP="00497A24">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b/>
          <w:u w:val="single"/>
          <w:lang w:val="fr-BE" w:eastAsia="fr-BE"/>
        </w:rPr>
      </w:pPr>
      <w:r w:rsidRPr="00EE28D9">
        <w:rPr>
          <w:rFonts w:ascii="Times New Roman" w:hAnsi="Times New Roman"/>
          <w:b/>
          <w:u w:val="single"/>
          <w:lang w:val="fr-BE" w:eastAsia="fr-BE"/>
        </w:rPr>
        <w:t>Qui doit prouver quoi ? </w:t>
      </w:r>
    </w:p>
    <w:p w:rsidR="00EE28D9" w:rsidRPr="00EE28D9" w:rsidRDefault="00EE28D9" w:rsidP="00497A24">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EE28D9">
        <w:rPr>
          <w:rFonts w:ascii="Times New Roman" w:hAnsi="Times New Roman"/>
          <w:lang w:val="fr-BE" w:eastAsia="fr-BE"/>
        </w:rPr>
        <w:t xml:space="preserve">Attention en justice, le consommateur doit invoquer la prescription puisque conformément à l’article 2223 du Code civil, </w:t>
      </w:r>
      <w:r w:rsidRPr="00EE28D9">
        <w:rPr>
          <w:rFonts w:ascii="Times New Roman" w:hAnsi="Times New Roman"/>
          <w:i/>
          <w:iCs/>
          <w:lang w:val="fr-BE" w:eastAsia="fr-BE"/>
        </w:rPr>
        <w:t>les juges ne peuvent suppléer d’office le moyen résultant de la prescription.</w:t>
      </w:r>
      <w:r w:rsidRPr="00EE28D9">
        <w:rPr>
          <w:rFonts w:ascii="Times New Roman" w:hAnsi="Times New Roman"/>
          <w:lang w:val="fr-BE" w:eastAsia="fr-BE"/>
        </w:rPr>
        <w:t xml:space="preserve"> </w:t>
      </w:r>
    </w:p>
    <w:p w:rsidR="000678DC" w:rsidRDefault="00EE28D9"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EE28D9">
        <w:rPr>
          <w:rFonts w:ascii="Times New Roman" w:hAnsi="Times New Roman"/>
          <w:lang w:val="fr-BE" w:eastAsia="fr-BE"/>
        </w:rPr>
        <w:lastRenderedPageBreak/>
        <w:t>Mais, conformément à l’article 870 du Code judiciaire, la charge de la preuve que le débiteur a renoncé au bénéfice de la prescription incombe au créancier qui se prévaut de cette renonciation.</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Et les fournisseurs d’énergie, comment vont- ils réagir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Il est possible que les fournisseurs tentent de s’opposer à l’application de cette prescription d’un an mais il faut savoir que les arrêts de la Cour de cassation sont très généralement suivis par les cours et tribunaux.</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La Cour de Cassation</w:t>
      </w:r>
      <w:r w:rsidRPr="000678DC">
        <w:rPr>
          <w:rFonts w:asciiTheme="minorHAnsi" w:eastAsiaTheme="minorHAnsi" w:hAnsiTheme="minorHAnsi" w:cstheme="minorBidi"/>
          <w:sz w:val="22"/>
          <w:szCs w:val="22"/>
          <w:highlight w:val="yellow"/>
          <w:lang w:val="fr-BE"/>
        </w:rPr>
        <w:t xml:space="preserve"> </w:t>
      </w:r>
      <w:r w:rsidRPr="000678DC">
        <w:rPr>
          <w:rFonts w:ascii="Times" w:eastAsiaTheme="minorHAnsi" w:hAnsi="Times" w:cstheme="minorBidi"/>
          <w:highlight w:val="yellow"/>
          <w:lang w:val="fr-BE"/>
        </w:rPr>
        <w:t xml:space="preserve">contrôle, en effet, la bonne application de la loi par les cours et tribunaux.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 xml:space="preserve">Elle ne juge pas du fond du litige (des faits) mais elle apprécie la légalité des décisions contestées. Elle va contrôler la bonne application de la loi par les juges. Elle va vérifier si la loi a été correctement appliquée aux faits tels qu'ils ont été constatés par les juges du fond.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 xml:space="preserve">Si la Cour de cassation estime que ce n’est pas le cas, elle va casser la décision et renvoyer l'affaire pour qu’elle soit jugée à nouveau. </w:t>
      </w:r>
    </w:p>
    <w:p w:rsid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r w:rsidRPr="000678DC">
        <w:rPr>
          <w:rFonts w:ascii="Times" w:eastAsiaTheme="minorHAnsi" w:hAnsi="Times" w:cstheme="minorBidi"/>
          <w:highlight w:val="yellow"/>
          <w:lang w:val="fr-BE"/>
        </w:rPr>
        <w:t>Son intervention permet ainsi d’assurer que les lois sont interprétées de manière correcte et identique dans tout le pays.</w:t>
      </w:r>
    </w:p>
    <w:p w:rsidR="000678DC" w:rsidRPr="000678DC" w:rsidRDefault="000678DC" w:rsidP="000678DC">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hyperlink r:id="rId11" w:history="1">
        <w:r w:rsidRPr="000678DC">
          <w:rPr>
            <w:rFonts w:ascii="Times" w:eastAsiaTheme="minorHAnsi" w:hAnsi="Times" w:cstheme="minorBidi"/>
            <w:i/>
            <w:color w:val="0000FF"/>
            <w:highlight w:val="yellow"/>
            <w:u w:val="single"/>
            <w:lang w:val="fr-BE"/>
          </w:rPr>
          <w:t>http://justice.belgium.be/fr/binaries/cass2012fr_tcm421-215179.pdf</w:t>
        </w:r>
      </w:hyperlink>
    </w:p>
    <w:p w:rsidR="000678DC" w:rsidRPr="00EE28D9" w:rsidRDefault="000678DC" w:rsidP="00497A24">
      <w:pPr>
        <w:pBdr>
          <w:top w:val="single" w:sz="4" w:space="1" w:color="auto"/>
          <w:left w:val="single" w:sz="4" w:space="0" w:color="auto"/>
          <w:bottom w:val="single" w:sz="4" w:space="1" w:color="auto"/>
          <w:right w:val="single" w:sz="4" w:space="1" w:color="auto"/>
        </w:pBdr>
        <w:spacing w:before="100" w:beforeAutospacing="1" w:after="100" w:afterAutospacing="1"/>
        <w:jc w:val="both"/>
        <w:rPr>
          <w:rFonts w:ascii="Times New Roman" w:hAnsi="Times New Roman"/>
          <w:lang w:val="fr-BE" w:eastAsia="fr-BE"/>
        </w:rPr>
      </w:pPr>
    </w:p>
    <w:sectPr w:rsidR="000678DC" w:rsidRPr="00EE28D9" w:rsidSect="000463FD">
      <w:headerReference w:type="even" r:id="rId12"/>
      <w:headerReference w:type="default" r:id="rId13"/>
      <w:footerReference w:type="default" r:id="rId14"/>
      <w:headerReference w:type="first" r:id="rId15"/>
      <w:footerReference w:type="first" r:id="rId16"/>
      <w:pgSz w:w="11906" w:h="16838" w:code="9"/>
      <w:pgMar w:top="1418" w:right="737" w:bottom="1418" w:left="1418"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D9" w:rsidRDefault="00EE28D9" w:rsidP="00EE28D9">
      <w:r>
        <w:separator/>
      </w:r>
    </w:p>
  </w:endnote>
  <w:endnote w:type="continuationSeparator" w:id="0">
    <w:p w:rsidR="00EE28D9" w:rsidRDefault="00EE28D9" w:rsidP="00E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DejaVu Sans">
    <w:charset w:val="00"/>
    <w:family w:val="swiss"/>
    <w:pitch w:val="variable"/>
  </w:font>
  <w:font w:name="Lohit Hind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58" w:rsidRPr="00BF11AE" w:rsidRDefault="000874FE" w:rsidP="00F91401">
    <w:pPr>
      <w:pStyle w:val="Pieddepage"/>
      <w:tabs>
        <w:tab w:val="right" w:pos="9720"/>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58" w:rsidRDefault="00497A24" w:rsidP="004207B7">
    <w:pPr>
      <w:tabs>
        <w:tab w:val="left" w:pos="1290"/>
        <w:tab w:val="center" w:pos="4875"/>
      </w:tabs>
      <w:jc w:val="center"/>
      <w:rPr>
        <w:rFonts w:ascii="Tahoma" w:hAnsi="Tahoma"/>
        <w:color w:val="808080"/>
        <w:sz w:val="14"/>
        <w:szCs w:val="20"/>
      </w:rPr>
    </w:pPr>
    <w:r>
      <w:rPr>
        <w:rFonts w:ascii="Tahoma" w:hAnsi="Tahoma"/>
        <w:color w:val="808080"/>
        <w:sz w:val="14"/>
        <w:szCs w:val="20"/>
      </w:rPr>
      <w:t>Modèle de lettre élaboré par le Centre d’Appui – Médiation de dettes</w:t>
    </w:r>
    <w:r w:rsidR="00EE28D9">
      <w:rPr>
        <w:rFonts w:ascii="Tahoma" w:hAnsi="Tahoma"/>
        <w:color w:val="808080"/>
        <w:sz w:val="14"/>
        <w:szCs w:val="20"/>
      </w:rPr>
      <w:t xml:space="preserve"> avril</w:t>
    </w:r>
    <w:r>
      <w:rPr>
        <w:rFonts w:ascii="Tahoma" w:hAnsi="Tahoma"/>
        <w:color w:val="808080"/>
        <w:sz w:val="14"/>
        <w:szCs w:val="20"/>
      </w:rPr>
      <w:t xml:space="preserve"> </w:t>
    </w:r>
    <w:r w:rsidR="00EE28D9">
      <w:rPr>
        <w:rFonts w:ascii="Tahoma" w:hAnsi="Tahoma"/>
        <w:color w:val="808080"/>
        <w:sz w:val="14"/>
        <w:szCs w:val="20"/>
      </w:rPr>
      <w:t>2015</w:t>
    </w:r>
  </w:p>
  <w:p w:rsidR="00A11658" w:rsidRPr="004207B7" w:rsidRDefault="000874FE" w:rsidP="004207B7">
    <w:pPr>
      <w:pStyle w:val="Pieddepage"/>
      <w:rPr>
        <w:lang w:val="fr-BE"/>
      </w:rPr>
    </w:pPr>
  </w:p>
  <w:p w:rsidR="00A11658" w:rsidRPr="004207B7" w:rsidRDefault="000874FE">
    <w:pPr>
      <w:pStyle w:val="Pieddepage"/>
      <w:rPr>
        <w:lang w:val="fr-BE"/>
      </w:rPr>
    </w:pPr>
  </w:p>
  <w:p w:rsidR="00A11658" w:rsidRPr="004207B7" w:rsidRDefault="000874FE" w:rsidP="004207B7">
    <w:pPr>
      <w:pStyle w:val="Pieddepage"/>
      <w:rPr>
        <w:szCs w:val="2"/>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D9" w:rsidRDefault="00EE28D9" w:rsidP="00EE28D9">
      <w:r>
        <w:separator/>
      </w:r>
    </w:p>
  </w:footnote>
  <w:footnote w:type="continuationSeparator" w:id="0">
    <w:p w:rsidR="00EE28D9" w:rsidRDefault="00EE28D9" w:rsidP="00EE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58" w:rsidRDefault="00497A24" w:rsidP="006A287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1658" w:rsidRDefault="000874FE" w:rsidP="00703D9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58" w:rsidRDefault="000874FE" w:rsidP="00703D95">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58" w:rsidRDefault="00497A24" w:rsidP="004207B7">
    <w:pPr>
      <w:pStyle w:val="En-tte"/>
      <w:jc w:val="center"/>
      <w:rPr>
        <w:rFonts w:ascii="Arial" w:hAnsi="Arial" w:cs="Arial"/>
        <w:smallCaps/>
        <w:color w:val="808080"/>
        <w:sz w:val="20"/>
        <w:szCs w:val="20"/>
        <w:u w:val="single"/>
      </w:rPr>
    </w:pPr>
    <w:r>
      <w:rPr>
        <w:rFonts w:ascii="Arial" w:hAnsi="Arial" w:cs="Arial"/>
        <w:smallCaps/>
        <w:color w:val="808080"/>
        <w:sz w:val="20"/>
        <w:szCs w:val="20"/>
        <w:u w:val="single"/>
      </w:rPr>
      <w:t>Modèle – prescription gaz électricité</w:t>
    </w:r>
    <w:r w:rsidR="00EE28D9">
      <w:rPr>
        <w:rFonts w:ascii="Arial" w:hAnsi="Arial" w:cs="Arial"/>
        <w:smallCaps/>
        <w:color w:val="808080"/>
        <w:sz w:val="20"/>
        <w:szCs w:val="20"/>
        <w:u w:val="single"/>
      </w:rPr>
      <w:t xml:space="preserve"> – 1 an (Cassation 8/01/2015)</w:t>
    </w:r>
  </w:p>
  <w:p w:rsidR="00A11658" w:rsidRDefault="000874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1F2"/>
    <w:multiLevelType w:val="hybridMultilevel"/>
    <w:tmpl w:val="306AC2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9D84B06"/>
    <w:multiLevelType w:val="hybridMultilevel"/>
    <w:tmpl w:val="7BDE5194"/>
    <w:lvl w:ilvl="0" w:tplc="27240E92">
      <w:start w:val="227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3F3CA4"/>
    <w:multiLevelType w:val="hybridMultilevel"/>
    <w:tmpl w:val="81368378"/>
    <w:lvl w:ilvl="0" w:tplc="2EC82D56">
      <w:start w:val="5"/>
      <w:numFmt w:val="bullet"/>
      <w:lvlText w:val="-"/>
      <w:lvlJc w:val="left"/>
      <w:pPr>
        <w:ind w:left="720" w:hanging="360"/>
      </w:pPr>
      <w:rPr>
        <w:rFonts w:ascii="Times" w:eastAsiaTheme="minorHAnsi"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D9"/>
    <w:rsid w:val="000678DC"/>
    <w:rsid w:val="000874FE"/>
    <w:rsid w:val="00497A24"/>
    <w:rsid w:val="00990A4F"/>
    <w:rsid w:val="00EE28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AFBE-FAD0-4514-9BB2-36ADF4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D9"/>
    <w:pPr>
      <w:spacing w:after="0" w:line="240" w:lineRule="auto"/>
    </w:pPr>
    <w:rPr>
      <w:rFonts w:ascii="Comic Sans MS" w:eastAsia="Times New Roman" w:hAnsi="Comic Sans MS"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E28D9"/>
    <w:pPr>
      <w:tabs>
        <w:tab w:val="center" w:pos="4320"/>
        <w:tab w:val="right" w:pos="8640"/>
      </w:tabs>
    </w:pPr>
    <w:rPr>
      <w:lang w:val="en-US"/>
    </w:rPr>
  </w:style>
  <w:style w:type="character" w:customStyle="1" w:styleId="PieddepageCar">
    <w:name w:val="Pied de page Car"/>
    <w:basedOn w:val="Policepardfaut"/>
    <w:link w:val="Pieddepage"/>
    <w:uiPriority w:val="99"/>
    <w:rsid w:val="00EE28D9"/>
    <w:rPr>
      <w:rFonts w:ascii="Comic Sans MS" w:eastAsia="Times New Roman" w:hAnsi="Comic Sans MS" w:cs="Times New Roman"/>
      <w:sz w:val="24"/>
      <w:szCs w:val="24"/>
      <w:lang w:val="en-US"/>
    </w:rPr>
  </w:style>
  <w:style w:type="paragraph" w:styleId="En-tte">
    <w:name w:val="header"/>
    <w:basedOn w:val="Normal"/>
    <w:link w:val="En-tteCar"/>
    <w:uiPriority w:val="99"/>
    <w:rsid w:val="00EE28D9"/>
    <w:pPr>
      <w:tabs>
        <w:tab w:val="center" w:pos="4536"/>
        <w:tab w:val="right" w:pos="9072"/>
      </w:tabs>
    </w:pPr>
  </w:style>
  <w:style w:type="character" w:customStyle="1" w:styleId="En-tteCar">
    <w:name w:val="En-tête Car"/>
    <w:basedOn w:val="Policepardfaut"/>
    <w:link w:val="En-tte"/>
    <w:uiPriority w:val="99"/>
    <w:rsid w:val="00EE28D9"/>
    <w:rPr>
      <w:rFonts w:ascii="Comic Sans MS" w:eastAsia="Times New Roman" w:hAnsi="Comic Sans MS" w:cs="Times New Roman"/>
      <w:sz w:val="24"/>
      <w:szCs w:val="24"/>
      <w:lang w:val="fr-FR"/>
    </w:rPr>
  </w:style>
  <w:style w:type="character" w:styleId="Numrodepage">
    <w:name w:val="page number"/>
    <w:basedOn w:val="Policepardfaut"/>
    <w:rsid w:val="00EE28D9"/>
  </w:style>
  <w:style w:type="paragraph" w:styleId="Paragraphedeliste">
    <w:name w:val="List Paragraph"/>
    <w:basedOn w:val="Normal"/>
    <w:uiPriority w:val="34"/>
    <w:qFormat/>
    <w:rsid w:val="00497A24"/>
    <w:pPr>
      <w:ind w:left="720"/>
      <w:contextualSpacing/>
    </w:pPr>
  </w:style>
  <w:style w:type="paragraph" w:styleId="NormalWeb">
    <w:name w:val="Normal (Web)"/>
    <w:basedOn w:val="Normal"/>
    <w:uiPriority w:val="99"/>
    <w:unhideWhenUsed/>
    <w:rsid w:val="000678DC"/>
    <w:pPr>
      <w:spacing w:before="100" w:beforeAutospacing="1" w:after="100" w:afterAutospacing="1"/>
    </w:pPr>
    <w:rPr>
      <w:rFonts w:ascii="Times New Roman" w:hAnsi="Times New Roman"/>
      <w:lang w:val="fr-BE" w:eastAsia="fr-BE"/>
    </w:rPr>
  </w:style>
  <w:style w:type="paragraph" w:customStyle="1" w:styleId="Standard">
    <w:name w:val="Standard"/>
    <w:rsid w:val="000678DC"/>
    <w:pPr>
      <w:widowControl w:val="0"/>
      <w:suppressAutoHyphens/>
      <w:autoSpaceDN w:val="0"/>
      <w:spacing w:after="0" w:line="240" w:lineRule="auto"/>
      <w:textAlignment w:val="baseline"/>
    </w:pPr>
    <w:rPr>
      <w:rFonts w:ascii="Times New Roman" w:eastAsia="DejaVu Sans" w:hAnsi="Times New Roman" w:cs="Lohit Hindi"/>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1804032135&amp;table_name=loi&amp;&amp;caller=list&amp;F&amp;fromtab=loi&amp;tri=dd+AS+RANK&amp;rech=1&amp;numero=1&amp;sql=%28text+contains+%28%27%27%29%2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ustice.just.fgov.be/cgi_loi/loi_a1.pl?language=fr&amp;la=F&amp;cn=1804032135&amp;table_name=loi&amp;&amp;caller=list&amp;F&amp;fromtab=loi&amp;tri=dd+AS+RANK&amp;rech=1&amp;numero=1&amp;sql=%28text+contains+%28%27%27%29%29"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tice.belgium.be/fr/binaries/cass2012fr_tcm421-215179.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iationdedettes.be/Nouvelle-cause-d-interruption-de?lang=fr"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1804032135&amp;table_name=loi&amp;&amp;caller=list&amp;F&amp;fromtab=loi&amp;tri=dd+AS+RANK&amp;rech=1&amp;numero=1&amp;sql=%28text+contains+%28%27%27%29%2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2015-04-16T12:11:00Z</dcterms:created>
  <dcterms:modified xsi:type="dcterms:W3CDTF">2015-08-07T07:36:00Z</dcterms:modified>
</cp:coreProperties>
</file>